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448"/>
        <w:gridCol w:w="1370"/>
        <w:gridCol w:w="2032"/>
        <w:gridCol w:w="1568"/>
        <w:gridCol w:w="133"/>
        <w:gridCol w:w="2097"/>
      </w:tblGrid>
      <w:tr w:rsidR="0090113D" w:rsidTr="002F109D">
        <w:trPr>
          <w:cantSplit/>
          <w:trHeight w:val="4290"/>
        </w:trPr>
        <w:tc>
          <w:tcPr>
            <w:tcW w:w="9648" w:type="dxa"/>
            <w:gridSpan w:val="6"/>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5"/>
          </w:tcPr>
          <w:p w:rsidR="0090113D" w:rsidRDefault="0090113D" w:rsidP="002F109D">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2A18C4">
              <w:rPr>
                <w:rFonts w:ascii="Arial" w:hAnsi="Arial"/>
              </w:rPr>
              <w:t>A</w:t>
            </w:r>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2"/>
          </w:tcPr>
          <w:p w:rsidR="0090113D" w:rsidRDefault="00C5370F" w:rsidP="002A18C4">
            <w:pPr>
              <w:rPr>
                <w:rFonts w:ascii="Arial" w:hAnsi="Arial"/>
              </w:rPr>
            </w:pPr>
            <w:r>
              <w:rPr>
                <w:rFonts w:ascii="Arial" w:hAnsi="Arial"/>
              </w:rPr>
              <w:t>NSW1</w:t>
            </w:r>
            <w:r w:rsidR="002A18C4">
              <w:rPr>
                <w:rFonts w:ascii="Arial" w:hAnsi="Arial"/>
              </w:rPr>
              <w:t>05</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60925">
            <w:pPr>
              <w:rPr>
                <w:rFonts w:ascii="Arial" w:hAnsi="Arial"/>
              </w:rPr>
            </w:pPr>
            <w:r>
              <w:rPr>
                <w:rFonts w:ascii="Arial" w:hAnsi="Arial"/>
              </w:rPr>
              <w:t>1</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5"/>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5"/>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tcBorders>
              <w:top w:val="nil"/>
              <w:left w:val="nil"/>
              <w:bottom w:val="nil"/>
              <w:right w:val="nil"/>
            </w:tcBorders>
          </w:tcPr>
          <w:p w:rsidR="0090113D" w:rsidRPr="00660925" w:rsidRDefault="00ED60E2" w:rsidP="00ED60E2">
            <w:pPr>
              <w:rPr>
                <w:rFonts w:ascii="Arial" w:hAnsi="Arial"/>
                <w:sz w:val="22"/>
                <w:szCs w:val="22"/>
              </w:rPr>
            </w:pPr>
            <w:r>
              <w:rPr>
                <w:rFonts w:ascii="Arial" w:hAnsi="Arial"/>
                <w:sz w:val="22"/>
                <w:szCs w:val="22"/>
              </w:rPr>
              <w:t>June ‘</w:t>
            </w:r>
            <w:r w:rsidR="00660925">
              <w:rPr>
                <w:rFonts w:ascii="Arial" w:hAnsi="Arial"/>
                <w:sz w:val="22"/>
                <w:szCs w:val="22"/>
              </w:rPr>
              <w:t>1</w:t>
            </w:r>
            <w:r w:rsidR="003C617D">
              <w:rPr>
                <w:rFonts w:ascii="Arial" w:hAnsi="Arial"/>
                <w:sz w:val="22"/>
                <w:szCs w:val="22"/>
              </w:rPr>
              <w:t>2</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3C617D">
            <w:pPr>
              <w:rPr>
                <w:rFonts w:ascii="Arial" w:hAnsi="Arial"/>
              </w:rPr>
            </w:pPr>
            <w:r w:rsidRPr="003C617D">
              <w:rPr>
                <w:rFonts w:ascii="Arial" w:hAnsi="Arial"/>
              </w:rPr>
              <w:t>June ‘11</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3"/>
            <w:tcBorders>
              <w:top w:val="nil"/>
            </w:tcBorders>
          </w:tcPr>
          <w:p w:rsidR="0090113D" w:rsidRPr="006E40F2" w:rsidRDefault="000E2FE5" w:rsidP="00CC3668">
            <w:pPr>
              <w:jc w:val="center"/>
              <w:rPr>
                <w:rFonts w:ascii="Arial" w:hAnsi="Arial" w:cs="Arial"/>
              </w:rPr>
            </w:pPr>
            <w:r>
              <w:rPr>
                <w:rFonts w:ascii="Arial" w:hAnsi="Arial" w:cs="Arial"/>
              </w:rPr>
              <w:t>“Angelique Lemay”</w:t>
            </w:r>
          </w:p>
        </w:tc>
        <w:tc>
          <w:tcPr>
            <w:tcW w:w="2230" w:type="dxa"/>
            <w:gridSpan w:val="2"/>
            <w:tcBorders>
              <w:top w:val="nil"/>
            </w:tcBorders>
          </w:tcPr>
          <w:p w:rsidR="0090113D" w:rsidRDefault="000E2FE5">
            <w:pPr>
              <w:rPr>
                <w:rFonts w:ascii="Arial" w:hAnsi="Arial"/>
              </w:rPr>
            </w:pPr>
            <w:r>
              <w:rPr>
                <w:rFonts w:ascii="Arial" w:hAnsi="Arial"/>
              </w:rPr>
              <w:t>Aug/12</w:t>
            </w:r>
            <w:bookmarkStart w:id="0" w:name="_GoBack"/>
            <w:bookmarkEnd w:id="0"/>
          </w:p>
        </w:tc>
      </w:tr>
      <w:tr w:rsidR="0090113D" w:rsidTr="002F109D">
        <w:trPr>
          <w:cantSplit/>
        </w:trPr>
        <w:tc>
          <w:tcPr>
            <w:tcW w:w="2448" w:type="dxa"/>
          </w:tcPr>
          <w:p w:rsidR="0090113D" w:rsidRDefault="0090113D">
            <w:pPr>
              <w:rPr>
                <w:rFonts w:ascii="Arial" w:hAnsi="Arial"/>
              </w:rPr>
            </w:pPr>
          </w:p>
        </w:tc>
        <w:tc>
          <w:tcPr>
            <w:tcW w:w="4970" w:type="dxa"/>
            <w:gridSpan w:val="3"/>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1E300B" w:rsidRDefault="001E300B" w:rsidP="004D5E0D">
            <w:pPr>
              <w:keepNext/>
              <w:jc w:val="center"/>
              <w:outlineLvl w:val="1"/>
              <w:rPr>
                <w:rFonts w:ascii="Arial" w:hAnsi="Arial"/>
                <w:b/>
                <w:lang w:val="en-US"/>
              </w:rPr>
            </w:pPr>
            <w:r w:rsidRPr="001E300B">
              <w:rPr>
                <w:rFonts w:ascii="Arial" w:hAnsi="Arial"/>
                <w:b/>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5"/>
          </w:tcPr>
          <w:p w:rsidR="0090113D" w:rsidRDefault="00337024">
            <w:pPr>
              <w:rPr>
                <w:rFonts w:ascii="Arial" w:hAnsi="Arial"/>
              </w:rPr>
            </w:pPr>
            <w:r>
              <w:rPr>
                <w:rFonts w:ascii="Arial" w:hAnsi="Arial"/>
              </w:rPr>
              <w:t>3</w:t>
            </w:r>
          </w:p>
        </w:tc>
      </w:tr>
      <w:tr w:rsidR="0090113D" w:rsidTr="001E300B">
        <w:trPr>
          <w:cantSplit/>
        </w:trPr>
        <w:tc>
          <w:tcPr>
            <w:tcW w:w="2448" w:type="dxa"/>
          </w:tcPr>
          <w:p w:rsidR="0090113D" w:rsidRDefault="00C20CF0">
            <w:pPr>
              <w:rPr>
                <w:rFonts w:ascii="Arial" w:hAnsi="Arial"/>
                <w:b/>
                <w:lang w:val="en-GB"/>
              </w:rPr>
            </w:pPr>
            <w:r>
              <w:rPr>
                <w:rFonts w:ascii="Arial" w:hAnsi="Arial"/>
                <w:b/>
                <w:lang w:val="en-GB"/>
              </w:rPr>
              <w:t>CO</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7200" w:type="dxa"/>
            <w:gridSpan w:val="5"/>
          </w:tcPr>
          <w:p w:rsidR="002F109D" w:rsidRDefault="002F109D" w:rsidP="00C20CF0">
            <w:pPr>
              <w:rPr>
                <w:rFonts w:ascii="Arial" w:hAnsi="Arial"/>
              </w:rPr>
            </w:pPr>
            <w:r>
              <w:rPr>
                <w:rFonts w:ascii="Arial" w:hAnsi="Arial"/>
              </w:rPr>
              <w:t>NSW1</w:t>
            </w:r>
            <w:r w:rsidR="002A18C4">
              <w:rPr>
                <w:rFonts w:ascii="Arial" w:hAnsi="Arial"/>
              </w:rPr>
              <w:t xml:space="preserve">06 </w:t>
            </w:r>
            <w:r w:rsidR="00C20CF0">
              <w:rPr>
                <w:rFonts w:ascii="Arial" w:hAnsi="Arial"/>
              </w:rPr>
              <w:t>Fieldwork Seminar 1A</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5"/>
          </w:tcPr>
          <w:p w:rsidR="0019077C" w:rsidRDefault="00D71B8E" w:rsidP="00D71B8E">
            <w:pPr>
              <w:rPr>
                <w:rFonts w:ascii="Arial" w:hAnsi="Arial"/>
              </w:rPr>
            </w:pPr>
            <w:r w:rsidRPr="00BD1BCD">
              <w:rPr>
                <w:rFonts w:ascii="Arial" w:hAnsi="Arial"/>
              </w:rPr>
              <w:t>110</w:t>
            </w:r>
            <w:r w:rsidR="0019077C" w:rsidRPr="00BD1BCD">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6"/>
          </w:tcPr>
          <w:p w:rsid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3C617D">
              <w:rPr>
                <w:rFonts w:ascii="Arial" w:hAnsi="Arial" w:cs="Arial"/>
                <w:szCs w:val="24"/>
              </w:rPr>
              <w:t>2</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6"/>
          </w:tcPr>
          <w:p w:rsidR="00BB269C" w:rsidRPr="00BB269C" w:rsidRDefault="001E300B" w:rsidP="00C100C5">
            <w:pPr>
              <w:pStyle w:val="Heading2"/>
              <w:tabs>
                <w:tab w:val="center" w:pos="4560"/>
              </w:tabs>
              <w:rPr>
                <w:rFonts w:ascii="Arial" w:hAnsi="Arial" w:cs="Arial"/>
                <w:b w:val="0"/>
                <w:szCs w:val="24"/>
              </w:rPr>
            </w:pPr>
            <w:r>
              <w:rPr>
                <w:rFonts w:ascii="Arial" w:hAnsi="Arial" w:cs="Arial"/>
                <w:b w:val="0"/>
                <w:i/>
              </w:rPr>
              <w:t>For additional information, please contact Angelique Lemay, Dean</w:t>
            </w:r>
          </w:p>
        </w:tc>
      </w:tr>
      <w:tr w:rsidR="00BB269C" w:rsidTr="002F109D">
        <w:trPr>
          <w:cantSplit/>
        </w:trPr>
        <w:tc>
          <w:tcPr>
            <w:tcW w:w="9648" w:type="dxa"/>
            <w:gridSpan w:val="6"/>
          </w:tcPr>
          <w:p w:rsidR="00BB269C" w:rsidRPr="00BB269C" w:rsidRDefault="001E300B" w:rsidP="001978E3">
            <w:pPr>
              <w:tabs>
                <w:tab w:val="center" w:pos="4560"/>
              </w:tabs>
              <w:jc w:val="center"/>
              <w:rPr>
                <w:rFonts w:ascii="Arial" w:hAnsi="Arial" w:cs="Arial"/>
                <w:i/>
                <w:lang w:val="en-GB"/>
              </w:rPr>
            </w:pPr>
            <w:r>
              <w:rPr>
                <w:rFonts w:ascii="Arial" w:hAnsi="Arial" w:cs="Arial"/>
                <w:i/>
                <w:lang w:val="en-GB"/>
              </w:rPr>
              <w:t>School of Community Services and Interdisciplinary Studies</w:t>
            </w:r>
          </w:p>
        </w:tc>
      </w:tr>
      <w:tr w:rsidR="00BB269C" w:rsidTr="002F109D">
        <w:trPr>
          <w:cantSplit/>
        </w:trPr>
        <w:tc>
          <w:tcPr>
            <w:tcW w:w="9648" w:type="dxa"/>
            <w:gridSpan w:val="6"/>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9"/>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of </w:t>
      </w:r>
      <w:r w:rsidR="00C5370F" w:rsidRPr="00BD1BCD">
        <w:rPr>
          <w:rFonts w:ascii="Arial" w:hAnsi="Arial"/>
          <w:lang w:val="en-GB"/>
        </w:rPr>
        <w:t>1</w:t>
      </w:r>
      <w:r w:rsidR="00D71B8E" w:rsidRPr="00BD1BCD">
        <w:rPr>
          <w:rFonts w:ascii="Arial" w:hAnsi="Arial"/>
          <w:lang w:val="en-GB"/>
        </w:rPr>
        <w:t>10</w:t>
      </w:r>
      <w:r w:rsidR="00C5370F" w:rsidRPr="00BD1BCD">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90113D" w:rsidRDefault="0090113D">
      <w:pPr>
        <w:ind w:left="720" w:hanging="720"/>
        <w:rPr>
          <w:rFonts w:ascii="Arial" w:hAnsi="Arial"/>
          <w:lang w:val="en-GB"/>
        </w:rPr>
      </w:pPr>
      <w:r>
        <w:rPr>
          <w:rFonts w:ascii="Arial" w:hAnsi="Arial"/>
          <w:lang w:val="en-GB"/>
        </w:rPr>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1E300B" w:rsidRDefault="001E300B">
      <w:pPr>
        <w:rPr>
          <w:rFonts w:ascii="Arial" w:hAnsi="Arial"/>
          <w:lang w:val="en-GB"/>
        </w:rPr>
      </w:pPr>
    </w:p>
    <w:p w:rsidR="001E300B" w:rsidRDefault="001E300B">
      <w:pPr>
        <w:rPr>
          <w:rFonts w:ascii="Arial" w:hAnsi="Arial"/>
          <w:lang w:val="en-GB"/>
        </w:rPr>
      </w:pPr>
    </w:p>
    <w:p w:rsidR="001E300B" w:rsidRDefault="001E300B">
      <w:pPr>
        <w:rPr>
          <w:rFonts w:ascii="Arial" w:hAnsi="Arial"/>
          <w:lang w:val="en-GB"/>
        </w:rPr>
      </w:pPr>
    </w:p>
    <w:p w:rsidR="001E300B" w:rsidRDefault="001E300B">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1E300B" w:rsidRDefault="001E300B" w:rsidP="009413AB">
      <w:pPr>
        <w:spacing w:after="120"/>
        <w:rPr>
          <w:rFonts w:ascii="Arial" w:hAnsi="Arial"/>
          <w:b/>
          <w:u w:val="single"/>
          <w:lang w:val="en-GB"/>
        </w:rPr>
      </w:pPr>
    </w:p>
    <w:p w:rsidR="00E20572" w:rsidRPr="0057612D" w:rsidRDefault="00E20572" w:rsidP="009413AB">
      <w:pPr>
        <w:spacing w:after="120"/>
        <w:rPr>
          <w:rFonts w:ascii="Arial" w:hAnsi="Arial"/>
          <w:lang w:val="en-GB"/>
        </w:rPr>
      </w:pPr>
      <w:r w:rsidRPr="0057612D">
        <w:rPr>
          <w:rFonts w:ascii="Arial" w:hAnsi="Arial"/>
          <w:b/>
          <w:u w:val="single"/>
          <w:lang w:val="en-GB"/>
        </w:rPr>
        <w:t>Learning Contract</w:t>
      </w:r>
      <w:r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Pr="0057612D">
        <w:rPr>
          <w:rFonts w:ascii="Arial" w:hAnsi="Arial"/>
          <w:lang w:val="en-GB"/>
        </w:rPr>
        <w:t>earning</w:t>
      </w:r>
      <w:r w:rsidR="0057612D" w:rsidRPr="0057612D">
        <w:rPr>
          <w:rFonts w:ascii="Arial" w:hAnsi="Arial"/>
          <w:lang w:val="en-GB"/>
        </w:rPr>
        <w:t xml:space="preserve"> Outcomes</w:t>
      </w:r>
      <w:r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1E300B" w:rsidRDefault="001E300B">
      <w:pPr>
        <w:rPr>
          <w:rFonts w:ascii="Arial" w:hAnsi="Arial"/>
          <w:b/>
          <w:lang w:val="en-GB"/>
        </w:rPr>
      </w:pPr>
    </w:p>
    <w:p w:rsidR="001E300B" w:rsidRDefault="001E300B">
      <w:pPr>
        <w:rPr>
          <w:rFonts w:ascii="Arial" w:hAnsi="Arial"/>
          <w:b/>
          <w:lang w:val="en-GB"/>
        </w:rPr>
      </w:pPr>
    </w:p>
    <w:p w:rsidR="001E300B" w:rsidRDefault="001E300B">
      <w:pPr>
        <w:rPr>
          <w:rFonts w:ascii="Arial" w:hAnsi="Arial"/>
          <w:b/>
          <w:lang w:val="en-GB"/>
        </w:rPr>
      </w:pPr>
    </w:p>
    <w:p w:rsidR="0090113D" w:rsidRDefault="0090113D">
      <w:pPr>
        <w:rPr>
          <w:rFonts w:ascii="Arial" w:hAnsi="Arial"/>
          <w:lang w:val="en-GB"/>
        </w:rPr>
      </w:pPr>
      <w:r>
        <w:rPr>
          <w:rFonts w:ascii="Arial" w:hAnsi="Arial"/>
          <w:b/>
          <w:lang w:val="en-GB"/>
        </w:rPr>
        <w:lastRenderedPageBreak/>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Handbook.</w:t>
      </w:r>
      <w:proofErr w:type="gramEnd"/>
      <w:r w:rsidR="00941566">
        <w:rPr>
          <w:rFonts w:ascii="Arial" w:hAnsi="Arial"/>
          <w:lang w:val="en-GB"/>
        </w:rPr>
        <w:t xml:space="preserve"> (Provided to students) </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sidR="00AC55FC">
        <w:rPr>
          <w:rFonts w:ascii="Arial" w:hAnsi="Arial"/>
          <w:lang w:val="en-GB"/>
        </w:rPr>
        <w:t xml:space="preserve"> Fieldwork Placement IB</w:t>
      </w:r>
      <w:r w:rsidRPr="00ED60E2">
        <w:rPr>
          <w:rFonts w:ascii="Arial" w:hAnsi="Arial"/>
          <w:lang w:val="en-GB"/>
        </w:rPr>
        <w:t>.</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w:t>
      </w:r>
      <w:r w:rsidR="00AC55FC">
        <w:rPr>
          <w:rFonts w:ascii="Arial" w:hAnsi="Arial"/>
          <w:lang w:val="en-GB"/>
        </w:rPr>
        <w:t>Fieldwork P</w:t>
      </w:r>
      <w:r>
        <w:rPr>
          <w:rFonts w:ascii="Arial" w:hAnsi="Arial"/>
          <w:lang w:val="en-GB"/>
        </w:rPr>
        <w:t xml:space="preserve">lacement </w:t>
      </w:r>
      <w:r w:rsidR="00AC55FC">
        <w:rPr>
          <w:rFonts w:ascii="Arial" w:hAnsi="Arial"/>
          <w:lang w:val="en-GB"/>
        </w:rPr>
        <w:t xml:space="preserve">IB </w:t>
      </w:r>
      <w:r>
        <w:rPr>
          <w:rFonts w:ascii="Arial" w:hAnsi="Arial"/>
          <w:lang w:val="en-GB"/>
        </w:rPr>
        <w:t xml:space="preserve">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BD1BCD"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is considered as the orientation stage of fieldwork.  Students are demonstrating introductory skills. </w:t>
      </w:r>
      <w:r w:rsidR="00DB0D19" w:rsidRPr="00BD1BCD">
        <w:rPr>
          <w:rFonts w:ascii="Arial" w:hAnsi="Arial" w:cs="Arial"/>
          <w:lang w:eastAsia="en-CA"/>
        </w:rPr>
        <w:t xml:space="preserve"> It is expected that they are being evaluated on their observations of the placement setting and ability </w:t>
      </w:r>
      <w:r w:rsidR="00004FE1">
        <w:rPr>
          <w:rFonts w:ascii="Arial" w:hAnsi="Arial" w:cs="Arial"/>
          <w:lang w:eastAsia="en-CA"/>
        </w:rPr>
        <w:t xml:space="preserve">to </w:t>
      </w:r>
      <w:r w:rsidR="00DB0D19" w:rsidRPr="00BD1BCD">
        <w:rPr>
          <w:rFonts w:ascii="Arial" w:hAnsi="Arial" w:cs="Arial"/>
          <w:lang w:eastAsia="en-CA"/>
        </w:rPr>
        <w:t xml:space="preserve">demonstrate an introductory understanding of the learning objectives.  </w:t>
      </w:r>
      <w:r w:rsidRPr="00BD1BCD">
        <w:rPr>
          <w:rFonts w:ascii="Arial" w:hAnsi="Arial" w:cs="Arial"/>
          <w:lang w:eastAsia="en-CA"/>
        </w:rPr>
        <w:t xml:space="preserve"> </w:t>
      </w:r>
    </w:p>
    <w:p w:rsidR="00AC4F19" w:rsidRPr="00BD1BCD" w:rsidRDefault="00AC4F19" w:rsidP="006875E2">
      <w:pPr>
        <w:ind w:left="720"/>
        <w:rPr>
          <w:rFonts w:ascii="Arial" w:hAnsi="Arial" w:cs="Arial"/>
          <w:lang w:eastAsia="en-CA"/>
        </w:rPr>
      </w:pPr>
    </w:p>
    <w:p w:rsidR="006875E2" w:rsidRPr="006875E2"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allows </w:t>
      </w:r>
      <w:r w:rsidR="00DB0D19" w:rsidRPr="00BD1BCD">
        <w:rPr>
          <w:rFonts w:ascii="Arial" w:hAnsi="Arial" w:cs="Arial"/>
          <w:lang w:eastAsia="en-CA"/>
        </w:rPr>
        <w:t xml:space="preserve">students the opportunity </w:t>
      </w:r>
      <w:r w:rsidRPr="00BD1BCD">
        <w:rPr>
          <w:rFonts w:ascii="Arial" w:hAnsi="Arial" w:cs="Arial"/>
          <w:lang w:eastAsia="en-CA"/>
        </w:rPr>
        <w:t xml:space="preserve">establish an understanding </w:t>
      </w:r>
      <w:r w:rsidR="00DB0D19" w:rsidRPr="00BD1BCD">
        <w:rPr>
          <w:rFonts w:ascii="Arial" w:hAnsi="Arial" w:cs="Arial"/>
          <w:lang w:eastAsia="en-CA"/>
        </w:rPr>
        <w:t xml:space="preserve">of </w:t>
      </w:r>
      <w:r w:rsidRPr="00BD1BCD">
        <w:rPr>
          <w:rFonts w:ascii="Arial" w:hAnsi="Arial" w:cs="Arial"/>
          <w:lang w:eastAsia="en-CA"/>
        </w:rPr>
        <w:t xml:space="preserve">the expectations </w:t>
      </w:r>
      <w:r w:rsidR="00DB0D19" w:rsidRPr="00BD1BCD">
        <w:rPr>
          <w:rFonts w:ascii="Arial" w:hAnsi="Arial" w:cs="Arial"/>
          <w:lang w:eastAsia="en-CA"/>
        </w:rPr>
        <w:t xml:space="preserve">of fieldwork.  </w:t>
      </w:r>
      <w:r w:rsidRPr="00BD1BCD">
        <w:rPr>
          <w:rFonts w:ascii="Arial" w:hAnsi="Arial" w:cs="Arial"/>
          <w:lang w:eastAsia="en-CA"/>
        </w:rPr>
        <w:t xml:space="preserve">At the introductory level students are expected to become familiar with the </w:t>
      </w:r>
      <w:r w:rsidR="00DB0D19" w:rsidRPr="00BD1BCD">
        <w:rPr>
          <w:rFonts w:ascii="Arial" w:hAnsi="Arial" w:cs="Arial"/>
          <w:lang w:eastAsia="en-CA"/>
        </w:rPr>
        <w:t xml:space="preserve">current semester </w:t>
      </w:r>
      <w:r w:rsidRPr="00BD1BCD">
        <w:rPr>
          <w:rFonts w:ascii="Arial" w:hAnsi="Arial" w:cs="Arial"/>
          <w:lang w:eastAsia="en-CA"/>
        </w:rPr>
        <w:t xml:space="preserve">skill </w:t>
      </w:r>
      <w:r w:rsidR="00DB0D19" w:rsidRPr="00BD1BCD">
        <w:rPr>
          <w:rFonts w:ascii="Arial" w:hAnsi="Arial" w:cs="Arial"/>
          <w:lang w:eastAsia="en-CA"/>
        </w:rPr>
        <w:t>preparing them for a progression of the skill</w:t>
      </w:r>
      <w:r w:rsidRPr="00BD1BCD">
        <w:rPr>
          <w:rFonts w:ascii="Arial" w:hAnsi="Arial" w:cs="Arial"/>
          <w:lang w:eastAsia="en-CA"/>
        </w:rPr>
        <w:t xml:space="preserve"> areas to be applied in the subsequent semesters.</w:t>
      </w:r>
      <w:r w:rsidRPr="006875E2">
        <w:rPr>
          <w:rFonts w:ascii="Arial" w:hAnsi="Arial" w:cs="Arial"/>
          <w:lang w:eastAsia="en-CA"/>
        </w:rPr>
        <w:t xml:space="preserve">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1E300B" w:rsidRDefault="001E300B" w:rsidP="006875E2">
      <w:pPr>
        <w:tabs>
          <w:tab w:val="left" w:pos="-1440"/>
        </w:tabs>
        <w:ind w:left="720"/>
        <w:rPr>
          <w:rFonts w:ascii="Arial" w:hAnsi="Arial"/>
          <w:lang w:val="en-GB"/>
        </w:rPr>
      </w:pPr>
    </w:p>
    <w:p w:rsidR="001E300B" w:rsidRDefault="001E300B" w:rsidP="006875E2">
      <w:pPr>
        <w:tabs>
          <w:tab w:val="left" w:pos="-1440"/>
        </w:tabs>
        <w:ind w:left="720"/>
        <w:rPr>
          <w:rFonts w:ascii="Arial" w:hAnsi="Arial"/>
          <w:lang w:val="en-GB"/>
        </w:rPr>
      </w:pPr>
    </w:p>
    <w:p w:rsidR="001E300B" w:rsidRDefault="001E300B"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lastRenderedPageBreak/>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2D0D1D">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 of the</w:t>
            </w:r>
            <w:r>
              <w:rPr>
                <w:rFonts w:ascii="Arial" w:hAnsi="Arial" w:cs="Arial"/>
                <w:lang w:eastAsia="en-CA"/>
              </w:rPr>
              <w:t xml:space="preserve"> skill in this area and has de</w:t>
            </w:r>
            <w:r w:rsidRPr="00B63646">
              <w:rPr>
                <w:rFonts w:ascii="Arial" w:hAnsi="Arial" w:cs="Arial"/>
                <w:lang w:eastAsia="en-CA"/>
              </w:rPr>
              <w:t xml:space="preserve">monstrating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to comprehend and to continue</w:t>
            </w:r>
            <w:r>
              <w:rPr>
                <w:rFonts w:ascii="Arial" w:hAnsi="Arial" w:cs="Arial"/>
                <w:lang w:eastAsia="en-CA"/>
              </w:rPr>
              <w:t xml:space="preserve"> to </w:t>
            </w:r>
            <w:r w:rsidRPr="00B63646">
              <w:rPr>
                <w:rFonts w:ascii="Arial" w:hAnsi="Arial" w:cs="Arial"/>
                <w:lang w:eastAsia="en-CA"/>
              </w:rPr>
              <w:t xml:space="preserve">carry out this skill area in the upcoming semester.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BD1BCD">
        <w:rPr>
          <w:rFonts w:ascii="Arial" w:hAnsi="Arial"/>
          <w:b/>
          <w:lang w:val="en-GB"/>
        </w:rPr>
        <w:t>110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sidR="00BD1BCD">
        <w:rPr>
          <w:rFonts w:ascii="Arial" w:hAnsi="Arial"/>
          <w:lang w:val="en-GB"/>
        </w:rPr>
        <w:t xml:space="preserve">Time is to be documented on the time sheet and verified by a supervisor’s signature.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p w:rsidR="001E300B" w:rsidRDefault="001E300B">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p w:rsidR="001E300B" w:rsidRDefault="001E300B">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p w:rsidR="001E300B" w:rsidRDefault="001E300B">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p w:rsidR="001E300B" w:rsidRDefault="001E300B">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p w:rsidR="001E300B" w:rsidRDefault="001E300B">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p w:rsidR="001E300B" w:rsidRDefault="001E300B">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firstRow="0" w:lastRow="0" w:firstColumn="0" w:lastColumn="0" w:noHBand="0" w:noVBand="0"/>
      </w:tblPr>
      <w:tblGrid>
        <w:gridCol w:w="648"/>
        <w:gridCol w:w="27"/>
        <w:gridCol w:w="8793"/>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2"/>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1E300B">
        <w:trPr>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793"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1E300B">
        <w:trPr>
          <w:cantSplit/>
          <w:trHeight w:val="585"/>
        </w:trPr>
        <w:tc>
          <w:tcPr>
            <w:tcW w:w="675" w:type="dxa"/>
            <w:gridSpan w:val="2"/>
          </w:tcPr>
          <w:p w:rsidR="009D442B" w:rsidRDefault="009D442B" w:rsidP="004D5E0D">
            <w:pPr>
              <w:rPr>
                <w:rFonts w:ascii="Arial" w:hAnsi="Arial"/>
              </w:rPr>
            </w:pPr>
          </w:p>
        </w:tc>
        <w:tc>
          <w:tcPr>
            <w:tcW w:w="8793"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9D442B" w:rsidRPr="007B37BF" w:rsidRDefault="009D442B" w:rsidP="00004FE1"/>
    <w:sectPr w:rsidR="009D442B" w:rsidRPr="007B37BF" w:rsidSect="0019077C">
      <w:headerReference w:type="default" r:id="rId10"/>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6D" w:rsidRDefault="008B446D">
      <w:r>
        <w:separator/>
      </w:r>
    </w:p>
  </w:endnote>
  <w:endnote w:type="continuationSeparator" w:id="0">
    <w:p w:rsidR="008B446D" w:rsidRDefault="008B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6D" w:rsidRDefault="008B446D">
      <w:r>
        <w:separator/>
      </w:r>
    </w:p>
  </w:footnote>
  <w:footnote w:type="continuationSeparator" w:id="0">
    <w:p w:rsidR="008B446D" w:rsidRDefault="008B4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6D" w:rsidRDefault="00A968A0">
    <w:pPr>
      <w:pStyle w:val="Header"/>
      <w:framePr w:wrap="around" w:vAnchor="text" w:hAnchor="margin" w:xAlign="center" w:y="1"/>
      <w:rPr>
        <w:rStyle w:val="PageNumber"/>
      </w:rPr>
    </w:pPr>
    <w:r>
      <w:rPr>
        <w:rStyle w:val="PageNumber"/>
      </w:rPr>
      <w:fldChar w:fldCharType="begin"/>
    </w:r>
    <w:r w:rsidR="008B446D">
      <w:rPr>
        <w:rStyle w:val="PageNumber"/>
      </w:rPr>
      <w:instrText xml:space="preserve">PAGE  </w:instrText>
    </w:r>
    <w:r>
      <w:rPr>
        <w:rStyle w:val="PageNumber"/>
      </w:rPr>
      <w:fldChar w:fldCharType="separate"/>
    </w:r>
    <w:r w:rsidR="008B446D">
      <w:rPr>
        <w:rStyle w:val="PageNumber"/>
        <w:noProof/>
      </w:rPr>
      <w:t>8</w:t>
    </w:r>
    <w:r>
      <w:rPr>
        <w:rStyle w:val="PageNumber"/>
      </w:rPr>
      <w:fldChar w:fldCharType="end"/>
    </w:r>
  </w:p>
  <w:p w:rsidR="008B446D" w:rsidRDefault="008B4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6D" w:rsidRPr="001B5E49" w:rsidRDefault="00A968A0" w:rsidP="001B5E49">
    <w:pPr>
      <w:pStyle w:val="Header"/>
      <w:framePr w:w="210" w:wrap="around" w:vAnchor="text" w:hAnchor="page" w:x="6841" w:y="-59"/>
      <w:ind w:right="-1140"/>
      <w:rPr>
        <w:rStyle w:val="PageNumber"/>
        <w:b/>
      </w:rPr>
    </w:pPr>
    <w:r w:rsidRPr="001B5E49">
      <w:rPr>
        <w:rStyle w:val="PageNumber"/>
        <w:b/>
      </w:rPr>
      <w:fldChar w:fldCharType="begin"/>
    </w:r>
    <w:r w:rsidR="008B446D" w:rsidRPr="001B5E49">
      <w:rPr>
        <w:rStyle w:val="PageNumber"/>
        <w:b/>
      </w:rPr>
      <w:instrText xml:space="preserve">PAGE  </w:instrText>
    </w:r>
    <w:r w:rsidRPr="001B5E49">
      <w:rPr>
        <w:rStyle w:val="PageNumber"/>
        <w:b/>
      </w:rPr>
      <w:fldChar w:fldCharType="separate"/>
    </w:r>
    <w:r w:rsidR="000E2FE5">
      <w:rPr>
        <w:rStyle w:val="PageNumber"/>
        <w:b/>
        <w:noProof/>
      </w:rPr>
      <w:t>7</w:t>
    </w:r>
    <w:r w:rsidRPr="001B5E49">
      <w:rPr>
        <w:rStyle w:val="PageNumber"/>
        <w:b/>
      </w:rPr>
      <w:fldChar w:fldCharType="end"/>
    </w:r>
  </w:p>
  <w:p w:rsidR="008B446D" w:rsidRPr="001B5E49" w:rsidRDefault="008B446D"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A</w:t>
    </w:r>
    <w:r w:rsidRPr="001B5E49">
      <w:rPr>
        <w:rFonts w:ascii="Arial" w:hAnsi="Arial"/>
        <w:b/>
        <w:bCs/>
        <w:sz w:val="20"/>
      </w:rPr>
      <w:tab/>
    </w:r>
    <w:r w:rsidRPr="001B5E49">
      <w:rPr>
        <w:rFonts w:ascii="Arial" w:hAnsi="Arial"/>
        <w:b/>
        <w:bCs/>
        <w:sz w:val="20"/>
      </w:rPr>
      <w:tab/>
      <w:t xml:space="preserve">NSW </w:t>
    </w:r>
    <w:r>
      <w:rPr>
        <w:rFonts w:ascii="Arial" w:hAnsi="Arial"/>
        <w:b/>
        <w:bCs/>
        <w:sz w:val="20"/>
      </w:rPr>
      <w:t>105</w:t>
    </w:r>
  </w:p>
  <w:p w:rsidR="008B446D" w:rsidRDefault="008B446D"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18"/>
  </w:num>
  <w:num w:numId="5">
    <w:abstractNumId w:val="11"/>
  </w:num>
  <w:num w:numId="6">
    <w:abstractNumId w:val="3"/>
  </w:num>
  <w:num w:numId="7">
    <w:abstractNumId w:val="7"/>
  </w:num>
  <w:num w:numId="8">
    <w:abstractNumId w:val="19"/>
  </w:num>
  <w:num w:numId="9">
    <w:abstractNumId w:val="14"/>
  </w:num>
  <w:num w:numId="10">
    <w:abstractNumId w:val="10"/>
  </w:num>
  <w:num w:numId="11">
    <w:abstractNumId w:val="5"/>
  </w:num>
  <w:num w:numId="12">
    <w:abstractNumId w:val="1"/>
  </w:num>
  <w:num w:numId="13">
    <w:abstractNumId w:val="0"/>
  </w:num>
  <w:num w:numId="14">
    <w:abstractNumId w:val="9"/>
  </w:num>
  <w:num w:numId="15">
    <w:abstractNumId w:val="17"/>
  </w:num>
  <w:num w:numId="16">
    <w:abstractNumId w:val="4"/>
  </w:num>
  <w:num w:numId="17">
    <w:abstractNumId w:val="13"/>
  </w:num>
  <w:num w:numId="18">
    <w:abstractNumId w:val="1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4806"/>
    <w:rsid w:val="00004FE1"/>
    <w:rsid w:val="000052BB"/>
    <w:rsid w:val="00005C80"/>
    <w:rsid w:val="00024FD9"/>
    <w:rsid w:val="00043429"/>
    <w:rsid w:val="00043EEC"/>
    <w:rsid w:val="00047F76"/>
    <w:rsid w:val="000613EE"/>
    <w:rsid w:val="0006497B"/>
    <w:rsid w:val="000762A7"/>
    <w:rsid w:val="00086F8C"/>
    <w:rsid w:val="000A0D63"/>
    <w:rsid w:val="000A1154"/>
    <w:rsid w:val="000A3267"/>
    <w:rsid w:val="000C04C2"/>
    <w:rsid w:val="000D6B2A"/>
    <w:rsid w:val="000E2FE5"/>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6AEA"/>
    <w:rsid w:val="001C7FD4"/>
    <w:rsid w:val="001E300B"/>
    <w:rsid w:val="001F7FCB"/>
    <w:rsid w:val="002141F0"/>
    <w:rsid w:val="00215149"/>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2F7A68"/>
    <w:rsid w:val="003007EE"/>
    <w:rsid w:val="003177B9"/>
    <w:rsid w:val="00320B2A"/>
    <w:rsid w:val="00337024"/>
    <w:rsid w:val="00346803"/>
    <w:rsid w:val="00346994"/>
    <w:rsid w:val="00357C98"/>
    <w:rsid w:val="00364280"/>
    <w:rsid w:val="003721B3"/>
    <w:rsid w:val="0037443B"/>
    <w:rsid w:val="00384D05"/>
    <w:rsid w:val="00395D9D"/>
    <w:rsid w:val="003B4878"/>
    <w:rsid w:val="003C02D6"/>
    <w:rsid w:val="003C0F43"/>
    <w:rsid w:val="003C617D"/>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E0D"/>
    <w:rsid w:val="004E3DEE"/>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67526"/>
    <w:rsid w:val="0068040D"/>
    <w:rsid w:val="00684145"/>
    <w:rsid w:val="006875E2"/>
    <w:rsid w:val="006D1D14"/>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4A2B"/>
    <w:rsid w:val="00865AF6"/>
    <w:rsid w:val="008830C3"/>
    <w:rsid w:val="00895369"/>
    <w:rsid w:val="008B0A3E"/>
    <w:rsid w:val="008B446D"/>
    <w:rsid w:val="008B5235"/>
    <w:rsid w:val="008D3B1E"/>
    <w:rsid w:val="008D3D8F"/>
    <w:rsid w:val="008E2244"/>
    <w:rsid w:val="008F5086"/>
    <w:rsid w:val="0090113D"/>
    <w:rsid w:val="0090158D"/>
    <w:rsid w:val="009238E9"/>
    <w:rsid w:val="00937FCE"/>
    <w:rsid w:val="00940BEF"/>
    <w:rsid w:val="009413AB"/>
    <w:rsid w:val="00941566"/>
    <w:rsid w:val="009418AC"/>
    <w:rsid w:val="0095252A"/>
    <w:rsid w:val="00960982"/>
    <w:rsid w:val="009912D2"/>
    <w:rsid w:val="00991FF6"/>
    <w:rsid w:val="009A6FAC"/>
    <w:rsid w:val="009D146B"/>
    <w:rsid w:val="009D179E"/>
    <w:rsid w:val="009D442B"/>
    <w:rsid w:val="009F3A06"/>
    <w:rsid w:val="009F5BC3"/>
    <w:rsid w:val="00A06E3C"/>
    <w:rsid w:val="00A17C30"/>
    <w:rsid w:val="00A17D0E"/>
    <w:rsid w:val="00A27E27"/>
    <w:rsid w:val="00A34A89"/>
    <w:rsid w:val="00A6527C"/>
    <w:rsid w:val="00A65B69"/>
    <w:rsid w:val="00A67D79"/>
    <w:rsid w:val="00A73967"/>
    <w:rsid w:val="00A756AA"/>
    <w:rsid w:val="00A84806"/>
    <w:rsid w:val="00A92BED"/>
    <w:rsid w:val="00A931F6"/>
    <w:rsid w:val="00A968A0"/>
    <w:rsid w:val="00AB15C9"/>
    <w:rsid w:val="00AB662E"/>
    <w:rsid w:val="00AC4F19"/>
    <w:rsid w:val="00AC55FC"/>
    <w:rsid w:val="00AC741F"/>
    <w:rsid w:val="00AC74F1"/>
    <w:rsid w:val="00AE5DC4"/>
    <w:rsid w:val="00B05129"/>
    <w:rsid w:val="00B0724E"/>
    <w:rsid w:val="00B13B35"/>
    <w:rsid w:val="00B328C1"/>
    <w:rsid w:val="00B33602"/>
    <w:rsid w:val="00B63646"/>
    <w:rsid w:val="00B7533B"/>
    <w:rsid w:val="00B76FC1"/>
    <w:rsid w:val="00B932EB"/>
    <w:rsid w:val="00BB269C"/>
    <w:rsid w:val="00BC138D"/>
    <w:rsid w:val="00BD1BCD"/>
    <w:rsid w:val="00BD72A4"/>
    <w:rsid w:val="00BD7A76"/>
    <w:rsid w:val="00BF2802"/>
    <w:rsid w:val="00BF5180"/>
    <w:rsid w:val="00C04AEE"/>
    <w:rsid w:val="00C100C5"/>
    <w:rsid w:val="00C15415"/>
    <w:rsid w:val="00C16E8F"/>
    <w:rsid w:val="00C20CF0"/>
    <w:rsid w:val="00C25FC0"/>
    <w:rsid w:val="00C26E7B"/>
    <w:rsid w:val="00C5370F"/>
    <w:rsid w:val="00C54971"/>
    <w:rsid w:val="00C630EC"/>
    <w:rsid w:val="00C6782A"/>
    <w:rsid w:val="00C707E3"/>
    <w:rsid w:val="00C71F61"/>
    <w:rsid w:val="00C75093"/>
    <w:rsid w:val="00C76870"/>
    <w:rsid w:val="00C87FA4"/>
    <w:rsid w:val="00C9153B"/>
    <w:rsid w:val="00C94818"/>
    <w:rsid w:val="00CB54FE"/>
    <w:rsid w:val="00CC3668"/>
    <w:rsid w:val="00CE4DF1"/>
    <w:rsid w:val="00D1711B"/>
    <w:rsid w:val="00D1756C"/>
    <w:rsid w:val="00D71B8E"/>
    <w:rsid w:val="00D771D1"/>
    <w:rsid w:val="00DB0D19"/>
    <w:rsid w:val="00DB7629"/>
    <w:rsid w:val="00DD6767"/>
    <w:rsid w:val="00DF2AB7"/>
    <w:rsid w:val="00DF5B3C"/>
    <w:rsid w:val="00E027D0"/>
    <w:rsid w:val="00E20572"/>
    <w:rsid w:val="00E205E3"/>
    <w:rsid w:val="00E75486"/>
    <w:rsid w:val="00E80AB4"/>
    <w:rsid w:val="00E923D7"/>
    <w:rsid w:val="00ED2E43"/>
    <w:rsid w:val="00ED60E2"/>
    <w:rsid w:val="00EE31BD"/>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ockticker"/>
  <w:smartTagType w:namespaceuri="urn:schemas-microsoft-com:office:smarttags" w:name="phon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8C895-767D-44B0-A0A1-8BD276B2DAC6}"/>
</file>

<file path=customXml/itemProps2.xml><?xml version="1.0" encoding="utf-8"?>
<ds:datastoreItem xmlns:ds="http://schemas.openxmlformats.org/officeDocument/2006/customXml" ds:itemID="{0567D9AC-D55B-4D5D-A51F-DD96F8928C8B}"/>
</file>

<file path=customXml/itemProps3.xml><?xml version="1.0" encoding="utf-8"?>
<ds:datastoreItem xmlns:ds="http://schemas.openxmlformats.org/officeDocument/2006/customXml" ds:itemID="{B5B0C5CD-EFC4-418F-B371-43788946D8FC}"/>
</file>

<file path=docProps/app.xml><?xml version="1.0" encoding="utf-8"?>
<Properties xmlns="http://schemas.openxmlformats.org/officeDocument/2006/extended-properties" xmlns:vt="http://schemas.openxmlformats.org/officeDocument/2006/docPropsVTypes">
  <Template>Normal.dotm</Template>
  <TotalTime>24</TotalTime>
  <Pages>7</Pages>
  <Words>1617</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Gina Guidocci</cp:lastModifiedBy>
  <cp:revision>15</cp:revision>
  <cp:lastPrinted>2012-08-28T20:45:00Z</cp:lastPrinted>
  <dcterms:created xsi:type="dcterms:W3CDTF">2011-05-24T16:50:00Z</dcterms:created>
  <dcterms:modified xsi:type="dcterms:W3CDTF">2012-08-28T20:45:00Z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11356000</vt:r8>
  </property>
</Properties>
</file>